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jc w:val="center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Hans"/>
        </w:rPr>
        <w:t>扎根时代沃土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Hans"/>
        </w:rPr>
        <w:t>支持当代艺术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jc w:val="center"/>
        <w:textAlignment w:val="auto"/>
        <w:rPr>
          <w:rFonts w:hint="default" w:ascii="仿宋" w:hAnsi="仿宋" w:eastAsia="仿宋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——写给新生的泰康美术馆</w:t>
      </w:r>
    </w:p>
    <w:bookmarkEnd w:id="0"/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  <w:lang w:eastAsia="zh-Hans"/>
        </w:rPr>
        <w:t>从拍卖艺术品到支持当代艺术家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收藏艺术品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</w:rPr>
        <w:t>到今天泰康美术馆落成，我觉得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是一个自然的过程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</w:rPr>
        <w:t>大学的时候，我读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《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徐悲鸿传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》《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梵高传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》《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罗丹传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》</w:t>
      </w:r>
      <w:r>
        <w:rPr>
          <w:rFonts w:ascii="仿宋" w:hAnsi="仿宋" w:eastAsia="仿宋"/>
          <w:color w:val="auto"/>
          <w:sz w:val="28"/>
          <w:szCs w:val="28"/>
        </w:rPr>
        <w:t>等，开始接触艺术相关的内容，了解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什么叫印象派</w:t>
      </w:r>
      <w:r>
        <w:rPr>
          <w:rFonts w:ascii="仿宋" w:hAnsi="仿宋" w:eastAsia="仿宋"/>
          <w:color w:val="auto"/>
          <w:sz w:val="28"/>
          <w:szCs w:val="28"/>
        </w:rPr>
        <w:t>。1</w:t>
      </w:r>
      <w:r>
        <w:rPr>
          <w:rFonts w:hint="default" w:ascii="仿宋" w:hAnsi="仿宋" w:eastAsia="仿宋"/>
          <w:color w:val="auto"/>
          <w:sz w:val="28"/>
          <w:szCs w:val="28"/>
        </w:rPr>
        <w:t>992</w:t>
      </w:r>
      <w:r>
        <w:rPr>
          <w:rFonts w:ascii="仿宋" w:hAnsi="仿宋" w:eastAsia="仿宋"/>
          <w:color w:val="auto"/>
          <w:sz w:val="28"/>
          <w:szCs w:val="28"/>
        </w:rPr>
        <w:t>年下海创业，因缘际会选择了艺术品拍卖。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</w:rPr>
        <w:t>艺术是时代精神的结晶。我们这一代人在新中国出生成长，在改革开放的大潮中参与国家建设，见证了中国的发展与崛起。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嘉德拍卖带给我商业的第一桶金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也让我得以近距离地认知艺术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</w:rPr>
        <w:t>所以回馈艺术、支持中国艺术发展也是我的责任。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</w:rPr>
        <w:t>在嘉德成立前后，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中国</w:t>
      </w:r>
      <w:r>
        <w:rPr>
          <w:rFonts w:ascii="仿宋" w:hAnsi="仿宋" w:eastAsia="仿宋"/>
          <w:color w:val="auto"/>
          <w:sz w:val="28"/>
          <w:szCs w:val="28"/>
        </w:rPr>
        <w:t>的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当代艺术</w:t>
      </w:r>
      <w:r>
        <w:rPr>
          <w:rFonts w:ascii="仿宋" w:hAnsi="仿宋" w:eastAsia="仿宋"/>
          <w:color w:val="auto"/>
          <w:sz w:val="28"/>
          <w:szCs w:val="28"/>
        </w:rPr>
        <w:t>家聚集在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圆明园</w:t>
      </w:r>
      <w:r>
        <w:rPr>
          <w:rFonts w:ascii="仿宋" w:hAnsi="仿宋" w:eastAsia="仿宋"/>
          <w:color w:val="auto"/>
          <w:sz w:val="28"/>
          <w:szCs w:val="28"/>
        </w:rPr>
        <w:t>画家村，后来迁移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到宋庄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</w:rPr>
        <w:t>成为一股新兴的力量。他们的经历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</w:rPr>
        <w:t>让我想起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俄罗斯艺术家康定斯基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</w:rPr>
        <w:t>作为抽象派艺术的先驱，他的作品从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最初不被理解和接纳</w:t>
      </w:r>
      <w:r>
        <w:rPr>
          <w:rFonts w:ascii="仿宋" w:hAnsi="仿宋" w:eastAsia="仿宋"/>
          <w:color w:val="auto"/>
          <w:sz w:val="28"/>
          <w:szCs w:val="28"/>
        </w:rPr>
        <w:t>，到后来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成为主流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</w:rPr>
        <w:t>这也让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我相信</w:t>
      </w:r>
      <w:r>
        <w:rPr>
          <w:rFonts w:ascii="仿宋" w:hAnsi="仿宋" w:eastAsia="仿宋"/>
          <w:color w:val="auto"/>
          <w:sz w:val="28"/>
          <w:szCs w:val="28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中国当代艺术</w:t>
      </w:r>
      <w:r>
        <w:rPr>
          <w:rFonts w:ascii="仿宋" w:hAnsi="仿宋" w:eastAsia="仿宋"/>
          <w:color w:val="auto"/>
          <w:sz w:val="28"/>
          <w:szCs w:val="28"/>
        </w:rPr>
        <w:t>必然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崛起</w:t>
      </w:r>
      <w:r>
        <w:rPr>
          <w:rFonts w:ascii="仿宋" w:hAnsi="仿宋" w:eastAsia="仿宋"/>
          <w:color w:val="auto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eastAsia="zh-Hans"/>
        </w:rPr>
      </w:pP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2001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年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当时还是独立策展人的唐昕找到我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请我赞助她策划的中国当代油画展览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我欣然同意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现在回想起来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她找到我是偶然的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但也有一种必然性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。2003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年泰康的公益事业室设立了泰康空间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，20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年来唐昕带领泰康空间团队以学术为核心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立足当代艺术现场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支持当代艺术家的实验性创作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研究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20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世纪以来的中国美术发展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建立泰康艺术收藏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形成了“从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1942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年以来看当代”的方法论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从文化发展的角度打通常规的国家发展时期断代方式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使泰康收藏形成体系化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历史性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学术性的特色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并在这种大构思中不断精细化发展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  <w:lang w:eastAsia="zh-Hans"/>
        </w:rPr>
        <w:t>泰康艺术</w:t>
      </w:r>
      <w:r>
        <w:rPr>
          <w:rFonts w:ascii="仿宋" w:hAnsi="仿宋" w:eastAsia="仿宋"/>
          <w:color w:val="auto"/>
          <w:sz w:val="28"/>
          <w:szCs w:val="28"/>
        </w:rPr>
        <w:t>品收藏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我也参照很多国际经验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国际知名的大型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金融机构，像JP·摩根集团、瑞银集团、德意志银行、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安盛保险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都有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集艺术收藏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、公益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性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、文化推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广于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一体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的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品牌形象。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我也经常去美国大都会艺术博物馆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纽约现代艺术博物馆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(M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o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MA)，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对这些美术馆认知越多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越让我有一种责任和冲动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要创建一座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代表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中国当代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艺术的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美术馆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eastAsia="zh-Hans"/>
        </w:rPr>
      </w:pPr>
      <w:r>
        <w:rPr>
          <w:rFonts w:ascii="仿宋" w:hAnsi="仿宋" w:eastAsia="仿宋"/>
          <w:color w:val="auto"/>
          <w:sz w:val="28"/>
          <w:szCs w:val="28"/>
          <w:lang w:eastAsia="zh-Hans"/>
        </w:rPr>
        <w:t>随着泰康</w:t>
      </w:r>
      <w:r>
        <w:rPr>
          <w:rFonts w:ascii="仿宋" w:hAnsi="仿宋" w:eastAsia="仿宋"/>
          <w:color w:val="auto"/>
          <w:sz w:val="28"/>
          <w:szCs w:val="28"/>
        </w:rPr>
        <w:t>的发展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我们的艺术收藏越来越丰富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筹建泰康美术馆一直是我工作日程上的重点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因为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2004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年春天我在北京市政协会议上提交议案建议保留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798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艺术区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为保留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798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园区起到了一定的作用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我对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798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也有特殊的情结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最初的设想就是在798建一座大型当代美术馆，已经做了相当深入的准备工作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</w:rPr>
        <w:t>很遗憾因为各种原因没有实现。到2</w:t>
      </w:r>
      <w:r>
        <w:rPr>
          <w:rFonts w:hint="default" w:ascii="仿宋" w:hAnsi="仿宋" w:eastAsia="仿宋"/>
          <w:color w:val="auto"/>
          <w:sz w:val="28"/>
          <w:szCs w:val="28"/>
        </w:rPr>
        <w:t>021</w:t>
      </w:r>
      <w:r>
        <w:rPr>
          <w:rFonts w:ascii="仿宋" w:hAnsi="仿宋" w:eastAsia="仿宋"/>
          <w:color w:val="auto"/>
          <w:sz w:val="28"/>
          <w:szCs w:val="28"/>
        </w:rPr>
        <w:t>年泰康成立2</w:t>
      </w:r>
      <w:r>
        <w:rPr>
          <w:rFonts w:hint="default" w:ascii="仿宋" w:hAnsi="仿宋" w:eastAsia="仿宋"/>
          <w:color w:val="auto"/>
          <w:sz w:val="28"/>
          <w:szCs w:val="28"/>
        </w:rPr>
        <w:t>5</w:t>
      </w:r>
      <w:r>
        <w:rPr>
          <w:rFonts w:ascii="仿宋" w:hAnsi="仿宋" w:eastAsia="仿宋"/>
          <w:color w:val="auto"/>
          <w:sz w:val="28"/>
          <w:szCs w:val="28"/>
        </w:rPr>
        <w:t>周年的时候，泰康集团大厦落成，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我决定回归初心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把美术馆建在集团大厦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从一个精品型的美术馆起步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我们有</w:t>
      </w:r>
      <w:r>
        <w:rPr>
          <w:rFonts w:ascii="仿宋" w:hAnsi="仿宋" w:eastAsia="仿宋"/>
          <w:color w:val="auto"/>
          <w:sz w:val="28"/>
          <w:szCs w:val="28"/>
        </w:rPr>
        <w:t>自己的学术体系，培养了专业的团队，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泰康收藏在中国美术馆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武汉大学万林艺术博物馆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、798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艺术区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嘉德艺术中心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、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湖北省美术馆的几次大规模展览都有很好的影响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，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这都是泰康美术馆坚实的基础</w:t>
      </w:r>
      <w:r>
        <w:rPr>
          <w:rFonts w:hint="default" w:ascii="仿宋" w:hAnsi="仿宋" w:eastAsia="仿宋"/>
          <w:color w:val="auto"/>
          <w:sz w:val="28"/>
          <w:szCs w:val="28"/>
          <w:lang w:eastAsia="zh-Hans"/>
        </w:rPr>
        <w:t>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泰康美术馆的战略定位就是当代美术馆，着重于中国本土的当代艺术和油画艺术，从美术的角度反映</w:t>
      </w:r>
      <w:r>
        <w:rPr>
          <w:rStyle w:val="12"/>
          <w:rFonts w:ascii="仿宋" w:hAnsi="仿宋" w:eastAsia="仿宋"/>
          <w:color w:val="auto"/>
          <w:sz w:val="28"/>
          <w:szCs w:val="28"/>
        </w:rPr>
        <w:t>1840</w:t>
      </w:r>
      <w:r>
        <w:rPr>
          <w:rFonts w:ascii="仿宋" w:hAnsi="仿宋" w:eastAsia="仿宋"/>
          <w:color w:val="auto"/>
          <w:sz w:val="28"/>
          <w:szCs w:val="28"/>
        </w:rPr>
        <w:t>年以来中国波澜壮阔的历史，我们的强项是革命时代的红色艺术，加上早期油画、当代艺术和年轻人的实验，构成一个体系，是国家现代化历史的一个写照。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我讲过泰康要做中国的MoMA，建设一个在中国当代艺术领域具有代表性的美术馆。美术馆背后的竞争就两点，第一赞助人是不是实力最强的？第二赞助人对美术馆的认知，对作品的认知，体现在好的展览、好的经营上。美国的大都会艺术博物馆和MoMA的形成是一个城市和一批人努力的结果。我认为未来中国在北京和上海，也能够靠社会的力量，靠城市的崛起和这个城市的企业家、 还有一批真正致力于艺术发展的人，打造出顶尖的当代美术馆。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北京是当代艺术的生产中心、艺术家中心，北京的成功企业家也多，具备打造一流美术馆的历史机遇。现在泰康美术馆的唯一赞助来源还是泰康保险集团，随着社会对美术馆的认知的提升，随着泰康美术馆的治理结构、学术、运营</w:t>
      </w:r>
      <w:r>
        <w:rPr>
          <w:rFonts w:ascii="仿宋" w:hAnsi="仿宋" w:eastAsia="仿宋"/>
          <w:color w:val="auto"/>
          <w:sz w:val="28"/>
          <w:szCs w:val="28"/>
          <w:lang w:eastAsia="zh-Hans"/>
        </w:rPr>
        <w:t>形成品牌</w:t>
      </w:r>
      <w:r>
        <w:rPr>
          <w:rFonts w:ascii="仿宋" w:hAnsi="仿宋" w:eastAsia="仿宋"/>
          <w:color w:val="auto"/>
          <w:sz w:val="28"/>
          <w:szCs w:val="28"/>
        </w:rPr>
        <w:t>，有了自己的号召力，将来会实现社会化，成为我们的社会在文化软实力上的象征之一。这是一个时间积累和团队奋斗的过程。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美术馆就像一个生命，她会自然地成长。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0" w:firstLineChars="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陈东升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0" w:firstLineChars="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泰康保险集团创始人、董事长兼首席执行官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20" w:lineRule="exact"/>
        <w:ind w:firstLine="0" w:firstLineChars="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泰康美术馆理事长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</w:rPr>
        <w:br w:type="page"/>
      </w:r>
    </w:p>
    <w:p>
      <w:pPr>
        <w:framePr w:wrap="auto" w:vAnchor="margin" w:hAnchor="text" w:yAlign="inline"/>
        <w:jc w:val="left"/>
        <w:rPr>
          <w:rFonts w:hint="default" w:ascii="Times New Roman Bold" w:hAnsi="Times New Roman Bold" w:cs="Times New Roman Bold"/>
          <w:b/>
          <w:bCs/>
          <w:color w:val="auto"/>
          <w:sz w:val="32"/>
          <w:szCs w:val="32"/>
        </w:rPr>
      </w:pPr>
      <w:r>
        <w:rPr>
          <w:rFonts w:hint="default" w:ascii="Times New Roman Bold" w:hAnsi="Times New Roman Bold" w:cs="Times New Roman Bold"/>
          <w:b/>
          <w:bCs/>
          <w:color w:val="auto"/>
          <w:sz w:val="32"/>
          <w:szCs w:val="32"/>
        </w:rPr>
        <w:t>Rooted in the Era's Fertile Soil, Supporting Contemporary Art</w:t>
      </w:r>
    </w:p>
    <w:p>
      <w:pPr>
        <w:framePr w:wrap="auto" w:vAnchor="margin" w:hAnchor="text" w:yAlign="inline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>To the Newly Born Taikang Art Museum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The path I have taken, from dealing in art and supporting contemporary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artists to forming an art collection and founding the Taikang Art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Museum, seems to me now to have unfolded completely naturally.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When I was in university, I read the biographies of artists like Xu Beihong,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Van Gogh and Rodin. This was my first foray into the world of art,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when I came to understand what terms like “impressionism” meant. In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1992, I embarked on my entrepreneurial career and, whether as a result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fate or chance, chose to participate in art auctions.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 is a crystallization of the Zeitgeist. My generation was born and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grew up after the founding of the People’s Republic of China. With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arrival of the burgeoning period of free market reforms, we contributed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to the economic development of the nation and witnessed first-hand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its rapid evolution in that time. My participation in the China Guardian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Auctions, aside from providing me with the capital I needed to start my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business career, also allowed me to become better acquainted with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world of art. I therefore have always felt I owe a debt of gratitude to art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and have a duty to support Chinese art’s development.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Around the time China Guardian was established, many artists were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living in the “painters’ village” near the Old Summer Palace in Beijing.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Later they moved to Songzhuang in the capital’s suburbs where they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became an exciting new creative force. Their experience reminds me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Kandinsky, the Russian pioneer of abstract art who produced works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which, despite not being understood and accepted at first, were later to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become mainstream. I am convinced that a similar path awaits Chinese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contemporary artists.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It was the independent curator Tang Xin who first reached out to me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in 2001, asking if I would sponsor a contemporary Chinese oil painting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exhibition she was curating, an offer I was only too happy to accept.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Looking back on it now, our apparently chance encounter was perhaps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meant to be. In 2003, Taikang’s Public Services Office set up its own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non-profit art institution, Taikang Space. In the twenty years since, Tang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Xin has led the team at Taikang Space in developing a centre for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exploration and exhibition of contemporary art with an emphasis on academic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research, an institution that supports contemporary artists’ experimental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work, researches the development of Chinese twentieth-century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art, and has established its own Taikang Collection. The team at Taikang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Space has also formulated a methodology for understanding Chinese art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that situates the contemporary in a historical context that “Researching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contemporary art since 1942”, adopting a cultural development perspective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that challenges the standard division of Chinese cultural history into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discrete eras. As such, the Taikang Collection has a uniquely systematic,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historical and academic character, which continues to be developed and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refined to this day.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With regards to the Taikang Collection, I have consulted various examples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from abroad. Many large international financial institutions such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as J.P.Morgan, UBS Group, Deutsche Bank and AXA have made art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collection, public service and promotion of culture part of their brand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image. I am also a frequent visitor to America’s Metropolitan Museum of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 and the Museum of Modern Art (MoMA), and as my understanding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these museums grows, so too do my commitment to and excitement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about creating an art museum that could represent Chinese contemporary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 museum.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As Taikang has grown, our collection has become more extensive.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Establishing the Taikang Art Museum has therefore been an important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part of my day-to-day work for some time. In the spring of 2004, I recommended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to the Beijing Municipal Political Consultative Conference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that they work to preserve the 798 Art District, a proposal which in its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way helped influence their final decision to do so. As such, I have always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had an emotional connection to the 798 Art District, and I initially chose it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as the site for the construction of a new large-scale museum of contemporary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art. I carried out a lot of preparatory work for this project, but unfortunately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 variety of factors meant I was unable to bring it to fruition.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On Taikang’s 25th anniversary in 2021, the Taikang Group Tower was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completed, and I decided to return to my original plan of constructing a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space for high-quality artworks in the Taikang Group Tower to act as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first stage in the life of the Taikang Art Museum. At Taikang, we have developed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our own academic approach and trained our own professional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team, and works in the Taikang Collection have made a profound impact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as part of large-scale exhibitions at Wuhan University’s Wanlin Art Museum,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the 798 Art District, the Guardian Art Center and the Hubei Museum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Art. These are the solid foundations on which the Taikang Art Museum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has been built.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The strategic positioning for the Taikang Art Museum as a contemporary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 museum is its focus on native Chinese contemporary art and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oil painting, as well as its commitment to offering an artistic perspective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on China’s turbulent history since 1840. Our collection has a rich selection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“Red Art” from the Maoist period which, alongside earlier oil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paintings, contemporary artworks and experimental pieces by young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artists, forms an aesthetic structure that reflects the history of China’s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arrival into the modern age.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 have said before that I want Taikang to build China’s MoMA,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go-to museum for Chinese contemporary art. There are two main challenges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behind the realization of such a project. The first lies with the capabilities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its sponsor, the second with the ability to turn the sponsor’s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understanding of the museum and its artworks into a successful operation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with influential exhibitions. The city of New York joined forces with a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group of committed individuals to make America’s Metropolitan Art Museum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and Museum of Modern Art a reality. I believe that in cities like Beijing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and Shanghai, China too will be able to harness society’s strengths,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drawing on the talents of its cities, entrepreneurs, and many others devoted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to the development of art, to establish a top-tier contemporary art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museum.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Aside from being the heart of China’s artistic production, a center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for artists across the country, Beijing is also home to many successful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entrepreneurs, all of which provides a historic opportunity for creating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a first-class art museum. At present, Taikang Art Museum’s only source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of funds is the Taikang Insurance Group. As society becomes more acquainted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with the museum, and as Taikang Art Museum’s administrative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structure, academic approach and operational logic contribute to an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increasingly recognized brand, it will become more and more part of the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social fabric, a symbol of cultural soft power in Chinese society. This is a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gradual process, a result of the accumulation of time and collective effort.</w:t>
      </w:r>
      <w:r>
        <w:rPr>
          <w:rFonts w:hint="default" w:ascii="Times New Roman Regular" w:hAnsi="Times New Roman Regular" w:cs="Times New Roman Regular"/>
          <w:color w:val="auto"/>
          <w:lang w:eastAsia="zh-CN"/>
        </w:rPr>
        <w:t xml:space="preserve"> 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The art museum is a living thing. She will grow naturally.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Chen Dongsheng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Chairman, Founder, and CEO of the Taikang Insurance Group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cs="Times New Roman Regular"/>
          <w:color w:val="auto"/>
          <w:lang w:val="en-US" w:eastAsia="zh-CN"/>
        </w:rPr>
        <w:t>Chairman of the Taikang Art Museum</w:t>
      </w:r>
    </w:p>
    <w:p>
      <w:pPr>
        <w:framePr w:wrap="auto" w:vAnchor="margin" w:hAnchor="text" w:yAlign="inline"/>
        <w:shd w:val="clear" w:color="auto" w:fill="auto"/>
        <w:rPr>
          <w:rFonts w:hint="default" w:ascii="Times New Roman Regular" w:hAnsi="Times New Roman Regular" w:cs="Times New Roman Regular"/>
          <w:color w:val="auto"/>
          <w:rtl w:val="0"/>
          <w:lang w:val="zh-CN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567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Semibold"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PingFang SC Regular"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framePr w:wrap="auto" w:vAnchor="margin" w:hAnchor="text" w:yAlign="inline"/>
      <w:widowControl/>
      <w:kinsoku/>
      <w:wordWrap/>
      <w:overflowPunct/>
      <w:topLinePunct w:val="0"/>
      <w:autoSpaceDE/>
      <w:autoSpaceDN/>
      <w:bidi w:val="0"/>
      <w:adjustRightInd/>
      <w:snapToGrid/>
      <w:spacing w:line="160" w:lineRule="exact"/>
      <w:jc w:val="both"/>
      <w:textAlignment w:val="auto"/>
      <w:rPr>
        <w:rFonts w:hint="eastAsia" w:ascii="Heiti TC Light" w:hAnsi="Heiti TC Light" w:eastAsia="Heiti TC Light" w:cs="Heiti TC Light"/>
        <w:sz w:val="11"/>
        <w:szCs w:val="11"/>
        <w:rtl w:val="0"/>
        <w:lang w:val="zh-CN" w:eastAsia="zh-CN"/>
      </w:rPr>
    </w:pPr>
    <w:r>
      <w:rPr>
        <w:rFonts w:hint="eastAsia" w:ascii="Heiti TC Light" w:hAnsi="Heiti TC Light" w:eastAsia="Heiti TC Light" w:cs="Heiti TC Light"/>
        <w:sz w:val="11"/>
        <w:szCs w:val="11"/>
        <w:rtl w:val="0"/>
        <w:lang w:val="zh-CN" w:eastAsia="zh-CN"/>
      </w:rPr>
      <w:t>北京市朝阳区景辉街</w:t>
    </w:r>
    <w:r>
      <w:rPr>
        <w:rFonts w:hint="eastAsia" w:ascii="Heiti TC Light" w:hAnsi="Heiti TC Light" w:eastAsia="Heiti TC Light" w:cs="Heiti TC Light"/>
        <w:sz w:val="11"/>
        <w:szCs w:val="11"/>
        <w:rtl w:val="0"/>
      </w:rPr>
      <w:t>16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ja-JP" w:eastAsia="ja-JP"/>
      </w:rPr>
      <w:t>号院</w:t>
    </w:r>
    <w:r>
      <w:rPr>
        <w:rFonts w:hint="eastAsia" w:ascii="Heiti TC Light" w:hAnsi="Heiti TC Light" w:eastAsia="Heiti TC Light" w:cs="Heiti TC Light"/>
        <w:sz w:val="11"/>
        <w:szCs w:val="11"/>
        <w:rtl w:val="0"/>
      </w:rPr>
      <w:t>1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zh-CN" w:eastAsia="zh-CN"/>
      </w:rPr>
      <w:t>号楼泰康集团大厦</w:t>
    </w:r>
    <w:r>
      <w:rPr>
        <w:rFonts w:hint="eastAsia" w:ascii="Heiti TC Light" w:hAnsi="Heiti TC Light" w:eastAsia="Heiti TC Light" w:cs="Heiti TC Light"/>
        <w:sz w:val="11"/>
        <w:szCs w:val="11"/>
        <w:rtl w:val="0"/>
      </w:rPr>
      <w:t>1-2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zh-CN" w:eastAsia="zh-CN"/>
      </w:rPr>
      <w:t>层</w:t>
    </w:r>
  </w:p>
  <w:p>
    <w:pPr>
      <w:keepNext w:val="0"/>
      <w:keepLines w:val="0"/>
      <w:framePr w:wrap="auto" w:vAnchor="margin" w:hAnchor="text" w:yAlign="inline"/>
      <w:widowControl/>
      <w:suppressLineNumbers w:val="0"/>
      <w:jc w:val="left"/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CN"/>
      </w:rPr>
    </w:pPr>
    <w:r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Hans"/>
      </w:rPr>
      <w:t>邮编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CN"/>
      </w:rPr>
      <w:t>100026</w:t>
    </w:r>
  </w:p>
  <w:p>
    <w:pPr>
      <w:keepNext w:val="0"/>
      <w:keepLines w:val="0"/>
      <w:framePr w:wrap="auto" w:vAnchor="margin" w:hAnchor="text" w:yAlign="inline"/>
      <w:widowControl/>
      <w:suppressLineNumbers w:val="0"/>
      <w:shd w:val="clear" w:color="auto" w:fill="auto"/>
      <w:jc w:val="left"/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CN"/>
      </w:rPr>
    </w:pPr>
    <w:r>
      <w:rPr>
        <w:rFonts w:hint="default" w:ascii="Heiti TC Light" w:hAnsi="Heiti TC Light" w:eastAsia="Heiti TC Light" w:cs="Heiti TC Light"/>
        <w:sz w:val="11"/>
        <w:szCs w:val="11"/>
        <w:rtl w:val="0"/>
        <w:lang w:eastAsia="zh-CN"/>
      </w:rPr>
      <w:t xml:space="preserve">+86 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CN"/>
      </w:rPr>
      <w:t>010</w:t>
    </w:r>
    <w:r>
      <w:rPr>
        <w:rFonts w:hint="default" w:ascii="Heiti TC Light" w:hAnsi="Heiti TC Light" w:eastAsia="Heiti TC Light" w:cs="Heiti TC Light"/>
        <w:sz w:val="11"/>
        <w:szCs w:val="11"/>
        <w:rtl w:val="0"/>
        <w:lang w:eastAsia="zh-CN"/>
      </w:rPr>
      <w:t xml:space="preserve"> </w:t>
    </w:r>
    <w:r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CN"/>
      </w:rPr>
      <w:t xml:space="preserve"> 6104 5886</w:t>
    </w:r>
  </w:p>
  <w:p>
    <w:pPr>
      <w:keepNext w:val="0"/>
      <w:keepLines w:val="0"/>
      <w:framePr w:wrap="auto" w:vAnchor="margin" w:hAnchor="text" w:yAlign="inline"/>
      <w:widowControl/>
      <w:suppressLineNumbers w:val="0"/>
      <w:jc w:val="left"/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Hans"/>
      </w:rPr>
    </w:pPr>
  </w:p>
  <w:p>
    <w:pPr>
      <w:pStyle w:val="9"/>
      <w:keepNext w:val="0"/>
      <w:keepLines w:val="0"/>
      <w:pageBreakBefore w:val="0"/>
      <w:framePr w:wrap="auto" w:vAnchor="margin" w:hAnchor="text" w:yAlign="inline"/>
      <w:widowControl/>
      <w:kinsoku/>
      <w:wordWrap/>
      <w:overflowPunct/>
      <w:topLinePunct w:val="0"/>
      <w:autoSpaceDE/>
      <w:autoSpaceDN/>
      <w:bidi w:val="0"/>
      <w:adjustRightInd/>
      <w:snapToGrid/>
      <w:spacing w:line="160" w:lineRule="exact"/>
      <w:jc w:val="both"/>
      <w:textAlignment w:val="auto"/>
      <w:rPr>
        <w:rFonts w:hint="eastAsia" w:ascii="Heiti TC Light" w:hAnsi="Heiti TC Light" w:eastAsia="Heiti TC Light" w:cs="Heiti TC Light"/>
        <w:sz w:val="11"/>
        <w:szCs w:val="11"/>
        <w:rtl w:val="0"/>
        <w:lang w:val="en-US" w:eastAsia="zh-H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tabs>
        <w:tab w:val="left" w:pos="6009"/>
        <w:tab w:val="right" w:pos="9866"/>
      </w:tabs>
      <w:jc w:val="left"/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  <w:r>
      <w:rPr>
        <w:rFonts w:hint="default"/>
      </w:rPr>
      <w:drawing>
        <wp:inline distT="0" distB="0" distL="114300" distR="114300">
          <wp:extent cx="915035" cy="300990"/>
          <wp:effectExtent l="0" t="0" r="24765" b="3810"/>
          <wp:docPr id="1" name="图片 1" descr="TAM Logo 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AM Logo 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1753E0CE"/>
    <w:rsid w:val="1AF106EE"/>
    <w:rsid w:val="25FF8360"/>
    <w:rsid w:val="3CFB031B"/>
    <w:rsid w:val="3FCA51AC"/>
    <w:rsid w:val="3FD7A211"/>
    <w:rsid w:val="4F8FAB86"/>
    <w:rsid w:val="5B3951F6"/>
    <w:rsid w:val="5EB6C3A4"/>
    <w:rsid w:val="67B1226E"/>
    <w:rsid w:val="67F61C69"/>
    <w:rsid w:val="6FEF21B9"/>
    <w:rsid w:val="6FF5D126"/>
    <w:rsid w:val="72FF747A"/>
    <w:rsid w:val="73DB930C"/>
    <w:rsid w:val="77DFEABE"/>
    <w:rsid w:val="7D7B1E7C"/>
    <w:rsid w:val="7DBE02BE"/>
    <w:rsid w:val="7E571124"/>
    <w:rsid w:val="7F47BE30"/>
    <w:rsid w:val="7FFF414E"/>
    <w:rsid w:val="8EF77262"/>
    <w:rsid w:val="99F72C7C"/>
    <w:rsid w:val="9DFEBDC4"/>
    <w:rsid w:val="ABEFE644"/>
    <w:rsid w:val="ADBEEB66"/>
    <w:rsid w:val="AFFA31E8"/>
    <w:rsid w:val="BDEBDA53"/>
    <w:rsid w:val="D7EF30C8"/>
    <w:rsid w:val="DBFFC281"/>
    <w:rsid w:val="DED3324B"/>
    <w:rsid w:val="DF1E4B07"/>
    <w:rsid w:val="DFAF2E2A"/>
    <w:rsid w:val="EBBA3953"/>
    <w:rsid w:val="EDDFF770"/>
    <w:rsid w:val="EEEF03B3"/>
    <w:rsid w:val="F3C673D1"/>
    <w:rsid w:val="F57F5C83"/>
    <w:rsid w:val="F5BEEABE"/>
    <w:rsid w:val="F6DF4458"/>
    <w:rsid w:val="FBBBE7F2"/>
    <w:rsid w:val="FFBF09DC"/>
    <w:rsid w:val="FFDB47F7"/>
    <w:rsid w:val="FFEF931F"/>
    <w:rsid w:val="FFFB96C3"/>
    <w:rsid w:val="FFFFC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小标题"/>
    <w:next w:val="9"/>
    <w:uiPriority w:val="0"/>
    <w:pPr>
      <w:keepNext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PingFang SC Semibold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customStyle="1" w:styleId="9">
    <w:name w:val="正文1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PingFang SC Regular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  <w:style w:type="paragraph" w:customStyle="1" w:styleId="10">
    <w:name w:val="默认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12">
    <w:name w:val="s1"/>
    <w:basedOn w:val="5"/>
    <w:uiPriority w:val="0"/>
    <w:rPr>
      <w:rFonts w:ascii="Helvetica" w:hAnsi="Helvetica" w:eastAsia="Helvetica" w:cs="Helvetica"/>
      <w:sz w:val="21"/>
      <w:szCs w:val="21"/>
    </w:rPr>
  </w:style>
  <w:style w:type="paragraph" w:customStyle="1" w:styleId="13">
    <w:name w:val="p4"/>
    <w:basedOn w:val="1"/>
    <w:uiPriority w:val="0"/>
    <w:pPr>
      <w:jc w:val="left"/>
    </w:pPr>
    <w:rPr>
      <w:rFonts w:ascii="pingfang sc" w:hAnsi="pingfang sc" w:eastAsia="pingfang sc" w:cs="Times New Roman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Office_5.4.1.7920_F1E327BC-269C-435d-A152-05C5408002CA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2023-07-30T13:52:00Z</dcterms:created>
  <dc:creator>Data</dc:creator>
  <cp:lastModifiedBy>Dee</cp:lastModifiedBy>
  <dcterms:modified xsi:type="dcterms:W3CDTF">2023-08-09T18:48:15Z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1932CCF06CB31A88C606C26443AE0341_42</vt:lpwstr>
  </property>
</Properties>
</file>